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                                                                      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ДОКЛАД</w:t>
      </w:r>
    </w:p>
    <w:p>
      <w:pPr>
        <w:jc w:val="center"/>
        <w:rPr>
          <w:rFonts w:asciiTheme="majorBidi" w:cstheme="majorBidi" w:eastAsiaTheme="majorBidi" w:hAnsiTheme="majorBidi"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sz w:val="24"/>
          <w:szCs w:val="24"/>
          <w:lang w:val="bg-BG"/>
        </w:rPr>
        <w:t>За дейността на народно читалище „Наука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-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1927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г.“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с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. Левск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и, 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общ.Суворово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, обл. Варна</w:t>
      </w:r>
    </w:p>
    <w:p>
      <w:pPr>
        <w:rPr>
          <w:rFonts w:asciiTheme="majorBidi" w:cstheme="majorBidi" w:eastAsiaTheme="majorBidi" w:hAnsiTheme="majorBidi"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</w:p>
    <w:p>
      <w:pPr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</w:rPr>
        <w:t xml:space="preserve">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ОСНОВНИ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ЦЕЛИ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: </w:t>
      </w:r>
    </w:p>
    <w:p>
      <w:pPr>
        <w:pStyle w:val="ListParagraph"/>
        <w:numPr>
          <w:ilvl w:val="0"/>
          <w:numId w:val="4"/>
        </w:numPr>
        <w:jc w:val="both"/>
        <w:rPr>
          <w:rFonts w:asciiTheme="majorBidi" w:cstheme="majorBidi" w:eastAsiaTheme="majorBidi" w:hAnsiTheme="majorBidi"/>
          <w:bCs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 xml:space="preserve">Развитие и подпомагане на </w:t>
      </w: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 xml:space="preserve">любителското </w:t>
      </w: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 xml:space="preserve">художествено творчество </w:t>
      </w:r>
    </w:p>
    <w:p>
      <w:pPr>
        <w:pStyle w:val="ListParagraph"/>
        <w:numPr>
          <w:ilvl w:val="0"/>
          <w:numId w:val="4"/>
        </w:numPr>
        <w:jc w:val="both"/>
        <w:rPr>
          <w:rFonts w:asciiTheme="majorBidi" w:cstheme="majorBidi" w:eastAsiaTheme="majorBidi" w:hAnsiTheme="majorBidi"/>
          <w:bCs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>Обогатяване на културния живот,</w:t>
      </w: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>социа</w:t>
      </w: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>лната и образователна дейност</w:t>
      </w:r>
    </w:p>
    <w:p>
      <w:pPr>
        <w:pStyle w:val="ListParagraph"/>
        <w:numPr>
          <w:ilvl w:val="0"/>
          <w:numId w:val="4"/>
        </w:numPr>
        <w:jc w:val="both"/>
        <w:rPr>
          <w:rFonts w:asciiTheme="majorBidi" w:cstheme="majorBidi" w:eastAsiaTheme="majorBidi" w:hAnsiTheme="majorBidi"/>
          <w:bCs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>Превръщане на читалището в основен информационен център</w:t>
      </w:r>
    </w:p>
    <w:p>
      <w:pPr>
        <w:pStyle w:val="ListParagraph"/>
        <w:numPr>
          <w:ilvl w:val="0"/>
          <w:numId w:val="4"/>
        </w:numPr>
        <w:jc w:val="both"/>
        <w:rPr>
          <w:rFonts w:asciiTheme="majorBidi" w:cstheme="majorBidi" w:eastAsiaTheme="majorBidi" w:hAnsiTheme="majorBidi"/>
          <w:bCs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 xml:space="preserve">Съхраняване на традициите и </w:t>
      </w: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 xml:space="preserve">обичаите на българския народ </w:t>
      </w:r>
    </w:p>
    <w:p>
      <w:pPr>
        <w:pStyle w:val="ListParagraph"/>
        <w:numPr>
          <w:ilvl w:val="0"/>
          <w:numId w:val="4"/>
        </w:numPr>
        <w:jc w:val="both"/>
        <w:rPr>
          <w:rFonts w:asciiTheme="majorBidi" w:cstheme="majorBidi" w:eastAsiaTheme="majorBidi" w:hAnsiTheme="majorBidi"/>
          <w:bCs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 xml:space="preserve">Обогатяване на културния </w:t>
      </w:r>
      <w:r>
        <w:rPr>
          <w:rFonts w:asciiTheme="majorBidi" w:cstheme="majorBidi" w:eastAsiaTheme="majorBidi" w:hAnsiTheme="majorBidi"/>
          <w:bCs/>
          <w:sz w:val="24"/>
          <w:szCs w:val="24"/>
          <w:lang w:val="bg-BG"/>
        </w:rPr>
        <w:t>живот, социалната и образователна дейност</w:t>
      </w:r>
    </w:p>
    <w:p>
      <w:pPr>
        <w:rPr>
          <w:rFonts w:asciiTheme="majorBidi" w:cstheme="majorBidi" w:eastAsiaTheme="majorBidi" w:hAnsiTheme="majorBidi"/>
          <w:b/>
          <w:sz w:val="24"/>
          <w:szCs w:val="24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ОСНОВНИ ДЕЙНОСТИ</w:t>
      </w:r>
      <w:r>
        <w:rPr>
          <w:rFonts w:asciiTheme="majorBidi" w:cstheme="majorBidi" w:eastAsiaTheme="majorBidi" w:hAnsiTheme="majorBidi"/>
          <w:b/>
          <w:sz w:val="24"/>
          <w:szCs w:val="24"/>
        </w:rPr>
        <w:t>:</w:t>
      </w:r>
    </w:p>
    <w:p>
      <w:pPr>
        <w:jc w:val="both"/>
        <w:rPr>
          <w:rFonts w:asciiTheme="majorBidi" w:cstheme="majorBidi" w:eastAsiaTheme="majorBidi" w:hAnsiTheme="majorBidi"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    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Читалището организира своята дейност като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спазва основните принципи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заложени в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Закона на народните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ч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италища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,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поддържа членска маса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,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ръководи се от върховен орган Общото събрание и от читалищното настоятелство.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За отчетния период настоятелството 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e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провело 39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заседания. Обсъжданите въпроси бяха основно финансово-стопански, както и организационно-творчески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.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  </w:t>
      </w:r>
    </w:p>
    <w:p>
      <w:pPr>
        <w:jc w:val="both"/>
        <w:rPr>
          <w:rFonts w:asciiTheme="majorBidi" w:cstheme="majorBidi" w:eastAsiaTheme="majorBidi" w:hAnsiTheme="majorBidi"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 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Дейността на читалището е насочена в организирането на социалния и културен живот на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живущите в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с.Левски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,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общ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.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Суворово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,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обл.Варна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.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През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отчетната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година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бяха организирани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и проведени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мероприятия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,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свързани с национални и местни празници и обичаи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–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Б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абинден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,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Д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ен на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лозаря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,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п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очитане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паметта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на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Васил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Левски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, ден на ссланината,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п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разник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на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селото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,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сирни заговезни,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Д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ен на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народните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будители,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осми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март –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ден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на жената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,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първи юни -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ден на детето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, първи ноември -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ден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на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народните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будители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, 24 май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– </w:t>
      </w:r>
      <w:r>
        <w:rPr>
          <w:rFonts w:asciiTheme="majorBidi" w:cstheme="majorBidi" w:eastAsiaTheme="majorBidi" w:hAnsiTheme="majorBidi"/>
          <w:sz w:val="24"/>
          <w:szCs w:val="24"/>
        </w:rPr>
        <w:t>Ден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</w:rPr>
        <w:t>на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</w:rPr>
        <w:t>светите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</w:rPr>
        <w:t>братя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</w:rPr>
        <w:t>Кирил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и </w:t>
      </w:r>
      <w:r>
        <w:rPr>
          <w:rFonts w:asciiTheme="majorBidi" w:cstheme="majorBidi" w:eastAsiaTheme="majorBidi" w:hAnsiTheme="majorBidi"/>
          <w:sz w:val="24"/>
          <w:szCs w:val="24"/>
        </w:rPr>
        <w:t>Методий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, </w:t>
      </w:r>
      <w:r>
        <w:rPr>
          <w:rFonts w:asciiTheme="majorBidi" w:cstheme="majorBidi" w:eastAsiaTheme="majorBidi" w:hAnsiTheme="majorBidi"/>
          <w:sz w:val="24"/>
          <w:szCs w:val="24"/>
        </w:rPr>
        <w:t>на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</w:rPr>
        <w:t>българската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</w:rPr>
        <w:t>азбука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, </w:t>
      </w:r>
      <w:r>
        <w:rPr>
          <w:rFonts w:asciiTheme="majorBidi" w:cstheme="majorBidi" w:eastAsiaTheme="majorBidi" w:hAnsiTheme="majorBidi"/>
          <w:sz w:val="24"/>
          <w:szCs w:val="24"/>
        </w:rPr>
        <w:t>просвета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и </w:t>
      </w:r>
      <w:r>
        <w:rPr>
          <w:rFonts w:asciiTheme="majorBidi" w:cstheme="majorBidi" w:eastAsiaTheme="majorBidi" w:hAnsiTheme="majorBidi"/>
          <w:sz w:val="24"/>
          <w:szCs w:val="24"/>
        </w:rPr>
        <w:t>култура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и </w:t>
      </w:r>
      <w:r>
        <w:rPr>
          <w:rFonts w:asciiTheme="majorBidi" w:cstheme="majorBidi" w:eastAsiaTheme="majorBidi" w:hAnsiTheme="majorBidi"/>
          <w:sz w:val="24"/>
          <w:szCs w:val="24"/>
        </w:rPr>
        <w:t>на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</w:rPr>
        <w:t>славянската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</w:rPr>
        <w:t>книжовност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, К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оледа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и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Н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ова година, 6 и 22 септември.</w:t>
      </w:r>
    </w:p>
    <w:p>
      <w:pPr>
        <w:jc w:val="both"/>
        <w:rPr>
          <w:rFonts w:asciiTheme="majorBidi" w:cstheme="majorBidi" w:eastAsiaTheme="majorBidi" w:hAnsiTheme="majorBidi"/>
          <w:sz w:val="24"/>
          <w:szCs w:val="24"/>
          <w:lang w:val="ru-RU"/>
        </w:rPr>
      </w:pP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Ч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италището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има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една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певческа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група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(8 души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състав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), от 2021 година има и танцов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клуб “Елбетица”.</w:t>
      </w:r>
    </w:p>
    <w:p>
      <w:pPr>
        <w:jc w:val="both"/>
        <w:rPr>
          <w:rFonts w:asciiTheme="majorBidi" w:cstheme="majorBidi" w:eastAsiaTheme="majorBidi" w:hAnsiTheme="majorBidi"/>
          <w:sz w:val="24"/>
          <w:szCs w:val="24"/>
          <w:lang w:val="ru-RU"/>
        </w:rPr>
      </w:pP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 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Народно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ч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италище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</w:rPr>
        <w:t>“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Наука – 1927 г.</w:t>
      </w:r>
      <w:r>
        <w:rPr>
          <w:rFonts w:asciiTheme="majorBidi" w:cstheme="majorBidi" w:eastAsiaTheme="majorBidi" w:hAnsiTheme="majorBidi"/>
          <w:sz w:val="24"/>
          <w:szCs w:val="24"/>
        </w:rPr>
        <w:t>”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с.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Левски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поддържа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връзки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с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М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инистреството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на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културата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,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регионалните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звена, община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Суворово  и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други институции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.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През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2021 г.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читалището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не е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реализирало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печалба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или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загуба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по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смисъла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на закона за 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счетоводството</w:t>
      </w:r>
      <w:r>
        <w:rPr>
          <w:rFonts w:asciiTheme="majorBidi" w:cstheme="majorBidi" w:eastAsiaTheme="majorBidi" w:hAnsiTheme="majorBidi"/>
          <w:sz w:val="24"/>
          <w:szCs w:val="24"/>
          <w:lang w:val="ru-RU"/>
        </w:rPr>
        <w:t>.</w:t>
      </w:r>
    </w:p>
    <w:p>
      <w:pPr>
        <w:pStyle w:val="ListParagraph"/>
        <w:jc w:val="both"/>
        <w:rPr>
          <w:rFonts w:asciiTheme="majorBidi" w:cstheme="majorBidi" w:eastAsiaTheme="majorBidi" w:hAnsiTheme="majorBidi"/>
          <w:sz w:val="24"/>
          <w:szCs w:val="24"/>
          <w:lang w:val="ru-RU"/>
        </w:rPr>
      </w:pPr>
      <w:r>
        <w:rPr>
          <w:rFonts w:asciiTheme="majorBidi" w:cstheme="majorBidi" w:eastAsiaTheme="majorBidi" w:hAnsiTheme="majorBidi"/>
          <w:sz w:val="24"/>
          <w:szCs w:val="24"/>
          <w:lang w:val="ru-RU"/>
        </w:rPr>
        <w:t xml:space="preserve"> </w:t>
      </w:r>
    </w:p>
    <w:p>
      <w:pPr>
        <w:rPr>
          <w:rFonts w:asciiTheme="majorBidi" w:cstheme="majorBidi" w:eastAsiaTheme="majorBidi" w:hAnsiTheme="majorBidi"/>
          <w:sz w:val="24"/>
          <w:szCs w:val="24"/>
        </w:rPr>
      </w:pP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                                                              Председател </w:t>
      </w:r>
      <w:r>
        <w:rPr>
          <w:rFonts w:asciiTheme="majorBidi" w:cstheme="majorBidi" w:eastAsiaTheme="majorBidi" w:hAnsiTheme="majorBidi"/>
          <w:sz w:val="24"/>
          <w:szCs w:val="24"/>
        </w:rPr>
        <w:t>:</w:t>
      </w:r>
    </w:p>
    <w:p>
      <w:pPr>
        <w:rPr>
          <w:rFonts w:asciiTheme="majorBidi" w:cstheme="majorBidi" w:eastAsiaTheme="majorBidi" w:hAnsiTheme="majorBidi"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sz w:val="24"/>
          <w:szCs w:val="24"/>
        </w:rPr>
        <w:t xml:space="preserve">                                                                                            /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Екатерина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Кварацхелия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/</w:t>
      </w:r>
    </w:p>
    <w:p>
      <w:pPr>
        <w:pStyle w:val="ListParagraph"/>
        <w:jc w:val="both"/>
        <w:rPr>
          <w:rFonts w:asciiTheme="majorBidi" w:cstheme="majorBidi" w:eastAsiaTheme="majorBidi" w:hAnsiTheme="majorBidi"/>
          <w:sz w:val="24"/>
          <w:szCs w:val="24"/>
        </w:rPr>
      </w:pP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 </w:t>
      </w:r>
      <w:r>
        <w:rPr>
          <w:rFonts w:asciiTheme="majorBidi" w:cstheme="majorBidi" w:eastAsiaTheme="majorBidi" w:hAnsiTheme="majorBidi"/>
          <w:sz w:val="24"/>
          <w:szCs w:val="24"/>
        </w:rPr>
        <w:t xml:space="preserve">                              </w:t>
      </w:r>
    </w:p>
    <w:p>
      <w:pPr>
        <w:pStyle w:val="ListParagraph"/>
        <w:jc w:val="both"/>
        <w:rPr>
          <w:rFonts w:cstheme="minorHAnsi"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</w:p>
    <w:p>
      <w:pPr>
        <w:pStyle w:val="ListParagraph"/>
        <w:jc w:val="both"/>
        <w:rPr>
          <w:rFonts w:cstheme="minorHAnsi"/>
          <w:sz w:val="24"/>
          <w:szCs w:val="24"/>
          <w:lang w:val="bg-BG"/>
        </w:rPr>
      </w:pPr>
    </w:p>
    <w:p>
      <w:pPr>
        <w:pStyle w:val="ListParagraph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</w:t>
      </w:r>
    </w:p>
    <w:p>
      <w:pPr>
        <w:pStyle w:val="ListParagraph"/>
        <w:rPr>
          <w:rFonts w:cstheme="minorHAnsi"/>
          <w:sz w:val="24"/>
          <w:szCs w:val="24"/>
          <w:lang w:val="bg-BG"/>
        </w:rPr>
      </w:pPr>
    </w:p>
    <w:p>
      <w:pPr>
        <w:pStyle w:val="ListParagraph"/>
        <w:rPr>
          <w:rFonts w:cstheme="minorHAnsi"/>
          <w:sz w:val="24"/>
          <w:szCs w:val="24"/>
          <w:lang w:val="bg-BG"/>
        </w:rPr>
      </w:pPr>
    </w:p>
    <w:p>
      <w:pPr>
        <w:rPr>
          <w:lang w:val="bg-BG"/>
        </w:rPr>
      </w:pPr>
    </w:p>
    <w:p>
      <w:pPr>
        <w:jc w:val="center"/>
        <w:rPr>
          <w:lang w:val="bg-BG"/>
        </w:rPr>
      </w:pPr>
    </w:p>
    <w:p>
      <w:pPr>
        <w:jc w:val="center"/>
        <w:rPr>
          <w:lang w:val="bg-BG"/>
        </w:rPr>
      </w:pP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multilevel"/>
    <w:lvl w:ilvl="0" w:tentative="0">
      <w:start w:val="2310"/>
      <w:numFmt w:val="decimal"/>
      <w:lvlText w:val="%1"/>
      <w:lvlJc w:val="left"/>
      <w:pPr>
        <w:ind w:left="780" w:hanging="780"/>
      </w:pPr>
      <w:rPr>
        <w:rFonts w:hint="default"/>
      </w:rPr>
    </w:lvl>
    <w:lvl w:ilvl="1" w:tentative="0">
      <w:start w:val="93"/>
      <w:numFmt w:val="decimal"/>
      <w:lvlText w:val="%1.%2"/>
      <w:lvlJc w:val="left"/>
      <w:pPr>
        <w:ind w:left="780" w:hanging="78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886" w:hanging="360"/>
      </w:pPr>
    </w:lvl>
    <w:lvl w:ilvl="1" w:tentative="1">
      <w:start w:val="1"/>
      <w:numFmt w:val="lowerLetter"/>
      <w:lvlText w:val="%2."/>
      <w:lvlJc w:val="left"/>
      <w:pPr>
        <w:ind w:left="1606" w:hanging="360"/>
      </w:pPr>
    </w:lvl>
    <w:lvl w:ilvl="2" w:tentative="1">
      <w:start w:val="1"/>
      <w:numFmt w:val="lowerRoman"/>
      <w:lvlText w:val="%3."/>
      <w:lvlJc w:val="right"/>
      <w:pPr>
        <w:ind w:left="2326" w:hanging="180"/>
      </w:pPr>
    </w:lvl>
    <w:lvl w:ilvl="3" w:tentative="1">
      <w:start w:val="1"/>
      <w:numFmt w:val="decimal"/>
      <w:lvlText w:val="%4."/>
      <w:lvlJc w:val="left"/>
      <w:pPr>
        <w:ind w:left="3046" w:hanging="360"/>
      </w:pPr>
    </w:lvl>
    <w:lvl w:ilvl="4" w:tentative="1">
      <w:start w:val="1"/>
      <w:numFmt w:val="lowerLetter"/>
      <w:lvlText w:val="%5."/>
      <w:lvlJc w:val="left"/>
      <w:pPr>
        <w:ind w:left="3766" w:hanging="360"/>
      </w:pPr>
    </w:lvl>
    <w:lvl w:ilvl="5" w:tentative="1">
      <w:start w:val="1"/>
      <w:numFmt w:val="lowerRoman"/>
      <w:lvlText w:val="%6."/>
      <w:lvlJc w:val="right"/>
      <w:pPr>
        <w:ind w:left="4486" w:hanging="180"/>
      </w:pPr>
    </w:lvl>
    <w:lvl w:ilvl="6" w:tentative="1">
      <w:start w:val="1"/>
      <w:numFmt w:val="decimal"/>
      <w:lvlText w:val="%7."/>
      <w:lvlJc w:val="left"/>
      <w:pPr>
        <w:ind w:left="5206" w:hanging="360"/>
      </w:pPr>
    </w:lvl>
    <w:lvl w:ilvl="7" w:tentative="1">
      <w:start w:val="1"/>
      <w:numFmt w:val="lowerLetter"/>
      <w:lvlText w:val="%8."/>
      <w:lvlJc w:val="left"/>
      <w:pPr>
        <w:ind w:left="5926" w:hanging="360"/>
      </w:pPr>
    </w:lvl>
    <w:lvl w:ilvl="8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95"/>
    <w:rsid w:val="0000164A"/>
    <w:rsid w:val="00047D5B"/>
    <w:rsid w:val="00051EF3"/>
    <w:rsid w:val="00075C52"/>
    <w:rsid w:val="00081BF1"/>
    <w:rsid w:val="0009559F"/>
    <w:rsid w:val="000E5F17"/>
    <w:rsid w:val="00117B55"/>
    <w:rsid w:val="0013193C"/>
    <w:rsid w:val="00172067"/>
    <w:rsid w:val="00196A95"/>
    <w:rsid w:val="002176CE"/>
    <w:rsid w:val="002C4695"/>
    <w:rsid w:val="0035432B"/>
    <w:rsid w:val="00386B17"/>
    <w:rsid w:val="003D73E3"/>
    <w:rsid w:val="003E3F5E"/>
    <w:rsid w:val="003E4414"/>
    <w:rsid w:val="003F4BC0"/>
    <w:rsid w:val="004307B5"/>
    <w:rsid w:val="00452A41"/>
    <w:rsid w:val="00454061"/>
    <w:rsid w:val="00460D55"/>
    <w:rsid w:val="004A1702"/>
    <w:rsid w:val="004F770B"/>
    <w:rsid w:val="00547D55"/>
    <w:rsid w:val="00561B41"/>
    <w:rsid w:val="005745B9"/>
    <w:rsid w:val="005D11A8"/>
    <w:rsid w:val="007258E2"/>
    <w:rsid w:val="00743250"/>
    <w:rsid w:val="00790911"/>
    <w:rsid w:val="007C1582"/>
    <w:rsid w:val="007D7E3D"/>
    <w:rsid w:val="0088022C"/>
    <w:rsid w:val="008C096D"/>
    <w:rsid w:val="008F4DCC"/>
    <w:rsid w:val="009A50A8"/>
    <w:rsid w:val="00A57267"/>
    <w:rsid w:val="00AC1EA5"/>
    <w:rsid w:val="00BB3879"/>
    <w:rsid w:val="00BE177F"/>
    <w:rsid w:val="00C56505"/>
    <w:rsid w:val="00C909C8"/>
    <w:rsid w:val="00CE5660"/>
    <w:rsid w:val="00D05F66"/>
    <w:rsid w:val="00D97DD4"/>
    <w:rsid w:val="00DD744C"/>
    <w:rsid w:val="00E238EB"/>
    <w:rsid w:val="00E45524"/>
    <w:rsid w:val="00EC6D9F"/>
    <w:rsid w:val="00F31BD3"/>
    <w:rsid w:val="00F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7FFB"/>
  <w15:chartTrackingRefBased/>
  <w15:docId w15:val="{36C5B510-38F1-4F66-BC84-C16EC620DF13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Georgievi</dc:creator>
  <cp:lastModifiedBy>Ekaterine Kvaratskhelia</cp:lastModifiedBy>
</cp:coreProperties>
</file>